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sz w:val="32"/>
          <w:szCs w:val="32"/>
        </w:rPr>
      </w:pPr>
    </w:p>
    <w:p>
      <w:pPr>
        <w:jc w:val="center"/>
        <w:rPr>
          <w:rFonts w:ascii="方正小标宋简体" w:hAnsi="方正小标宋简体" w:eastAsia="方正小标宋简体"/>
          <w:sz w:val="32"/>
          <w:szCs w:val="32"/>
        </w:rPr>
      </w:pPr>
    </w:p>
    <w:p>
      <w:pPr>
        <w:spacing w:line="560" w:lineRule="exact"/>
        <w:jc w:val="center"/>
        <w:rPr>
          <w:rFonts w:ascii="方正小标宋简体" w:hAnsi="方正小标宋简体" w:eastAsia="方正小标宋简体"/>
          <w:sz w:val="44"/>
          <w:szCs w:val="44"/>
        </w:rPr>
      </w:pPr>
      <w:bookmarkStart w:id="0" w:name="_GoBack"/>
      <w:r>
        <w:rPr>
          <w:rFonts w:hint="eastAsia" w:ascii="方正小标宋简体" w:hAnsi="方正小标宋简体" w:eastAsia="方正小标宋简体"/>
          <w:sz w:val="44"/>
          <w:szCs w:val="44"/>
        </w:rPr>
        <w:t>河北雄安新区党工委管委会党群工作部2022年政府信息公开工作年度报告</w:t>
      </w:r>
    </w:p>
    <w:bookmarkEnd w:id="0"/>
    <w:p>
      <w:pPr>
        <w:spacing w:line="560" w:lineRule="exact"/>
        <w:jc w:val="center"/>
        <w:rPr>
          <w:rFonts w:ascii="方正小标宋简体" w:hAnsi="方正小标宋简体" w:eastAsia="方正小标宋简体"/>
          <w:sz w:val="44"/>
          <w:szCs w:val="44"/>
        </w:rPr>
      </w:pPr>
    </w:p>
    <w:p>
      <w:pPr>
        <w:spacing w:line="560" w:lineRule="exact"/>
        <w:rPr>
          <w:rFonts w:ascii="Times New Roman" w:hAnsi="Times New Roman" w:eastAsia="仿宋_GB2312" w:cs="Times New Roman"/>
          <w:sz w:val="32"/>
          <w:szCs w:val="32"/>
        </w:rPr>
      </w:pPr>
      <w:r>
        <w:rPr>
          <w:rFonts w:hint="eastAsia" w:ascii="仿宋_GB2312" w:eastAsia="仿宋_GB2312"/>
          <w:sz w:val="32"/>
          <w:szCs w:val="32"/>
        </w:rPr>
        <w:t>　　根据《中华人民共和国政府信息公开条例》《河北省实施〈中华人民共和国政府信息公开条例〉办法》等规定，发布本年度报告。报告中所列数据统计期限为</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年1月1日至12月31日。</w:t>
      </w:r>
    </w:p>
    <w:p>
      <w:pPr>
        <w:spacing w:line="560" w:lineRule="exact"/>
        <w:rPr>
          <w:rFonts w:ascii="黑体" w:hAnsi="黑体" w:eastAsia="黑体"/>
          <w:sz w:val="32"/>
          <w:szCs w:val="32"/>
        </w:rPr>
      </w:pPr>
      <w:r>
        <w:rPr>
          <w:rFonts w:hint="eastAsia" w:ascii="仿宋_GB2312" w:eastAsia="仿宋_GB2312"/>
          <w:sz w:val="32"/>
          <w:szCs w:val="32"/>
        </w:rPr>
        <w:t>　　</w:t>
      </w:r>
      <w:r>
        <w:rPr>
          <w:rFonts w:hint="eastAsia" w:ascii="黑体" w:hAnsi="黑体" w:eastAsia="黑体"/>
          <w:sz w:val="32"/>
          <w:szCs w:val="32"/>
        </w:rPr>
        <w:t>一、总体情况</w:t>
      </w:r>
    </w:p>
    <w:p>
      <w:pPr>
        <w:spacing w:line="560" w:lineRule="exact"/>
        <w:rPr>
          <w:rFonts w:ascii="Times New Roman" w:hAnsi="Times New Roman" w:eastAsia="仿宋_GB2312" w:cs="Times New Roman"/>
          <w:sz w:val="32"/>
          <w:szCs w:val="32"/>
        </w:rPr>
      </w:pPr>
      <w:r>
        <w:rPr>
          <w:rFonts w:hint="eastAsia" w:ascii="仿宋_GB2312" w:eastAsia="仿宋_GB2312"/>
          <w:sz w:val="32"/>
          <w:szCs w:val="32"/>
        </w:rPr>
        <w:t>　</w:t>
      </w:r>
      <w:r>
        <w:rPr>
          <w:rFonts w:ascii="Times New Roman" w:hAnsi="Times New Roman" w:eastAsia="仿宋_GB2312" w:cs="Times New Roman"/>
          <w:sz w:val="32"/>
          <w:szCs w:val="32"/>
        </w:rPr>
        <w:t>　2022年，党群工作部坚持以习近平新时代中国特色社会主义思想为指导，认真贯彻落实党中央、国务院决策部署和省委、省政府工作安排，在新区党工委、管委会的坚强领导下，坚持以人民为中心深化公开工作，促进政府决策和管理服务更加规范透明，为加快实现“五新”目标提供了有力支撑。</w:t>
      </w:r>
    </w:p>
    <w:p>
      <w:pPr>
        <w:spacing w:line="560" w:lineRule="exact"/>
        <w:rPr>
          <w:rFonts w:ascii="仿宋_GB2312" w:eastAsia="仿宋_GB2312"/>
          <w:sz w:val="32"/>
          <w:szCs w:val="32"/>
        </w:rPr>
      </w:pPr>
      <w:r>
        <w:rPr>
          <w:rFonts w:hint="eastAsia" w:ascii="仿宋_GB2312" w:eastAsia="仿宋_GB2312"/>
          <w:sz w:val="32"/>
          <w:szCs w:val="32"/>
        </w:rPr>
        <w:t>　　（一）主动公开方面。按照新区政务公开领导小组办公室统一安排，出台《河北雄安新区党群工作部信息公开指南》，并及时通过中国雄安官网等平台公开发布。</w:t>
      </w:r>
    </w:p>
    <w:p>
      <w:pPr>
        <w:spacing w:line="560" w:lineRule="exact"/>
        <w:rPr>
          <w:rFonts w:ascii="仿宋_GB2312" w:eastAsia="仿宋_GB2312"/>
          <w:sz w:val="32"/>
          <w:szCs w:val="32"/>
        </w:rPr>
      </w:pPr>
      <w:r>
        <w:rPr>
          <w:rFonts w:hint="eastAsia" w:ascii="仿宋_GB2312" w:eastAsia="仿宋_GB2312"/>
          <w:sz w:val="32"/>
          <w:szCs w:val="32"/>
        </w:rPr>
        <w:t>　　（二）依申请公开方面。严格执行《河北省政府信息公开申请办理规范》，依法依规办理政府信息公开申请。全年暂未收到政府信息公开申请。</w:t>
      </w:r>
    </w:p>
    <w:p>
      <w:pPr>
        <w:spacing w:line="560" w:lineRule="exact"/>
        <w:rPr>
          <w:rFonts w:ascii="仿宋_GB2312" w:eastAsia="仿宋_GB2312"/>
          <w:sz w:val="32"/>
          <w:szCs w:val="32"/>
        </w:rPr>
      </w:pPr>
      <w:r>
        <w:rPr>
          <w:rFonts w:hint="eastAsia" w:ascii="仿宋_GB2312" w:eastAsia="仿宋_GB2312"/>
          <w:sz w:val="32"/>
          <w:szCs w:val="32"/>
        </w:rPr>
        <w:t>　　（三）政府信息管理方面。落实政务公开有关工作要求，新区党工委管委会组织的各类招录招聘，全部通过中国雄安官网“政务服务”板块累计向社会公开发布。</w:t>
      </w:r>
    </w:p>
    <w:p>
      <w:pPr>
        <w:spacing w:line="560" w:lineRule="exact"/>
        <w:rPr>
          <w:rFonts w:ascii="仿宋_GB2312" w:eastAsia="仿宋_GB2312"/>
          <w:sz w:val="32"/>
          <w:szCs w:val="32"/>
        </w:rPr>
      </w:pPr>
      <w:r>
        <w:rPr>
          <w:rFonts w:hint="eastAsia" w:ascii="仿宋_GB2312" w:eastAsia="仿宋_GB2312"/>
          <w:sz w:val="32"/>
          <w:szCs w:val="32"/>
        </w:rPr>
        <w:t>　　（四）政府信息公开平台建设方面。全面配合推行政府网站集约化改革，推进政府信息公开平台建设，优化各项功能，更好利企便民。</w:t>
      </w:r>
    </w:p>
    <w:p>
      <w:pPr>
        <w:spacing w:line="560" w:lineRule="exact"/>
        <w:ind w:firstLine="648"/>
        <w:rPr>
          <w:rFonts w:hint="eastAsia" w:ascii="仿宋_GB2312" w:eastAsia="仿宋_GB2312"/>
          <w:sz w:val="32"/>
          <w:szCs w:val="32"/>
        </w:rPr>
      </w:pPr>
      <w:r>
        <w:rPr>
          <w:rFonts w:hint="eastAsia" w:ascii="仿宋_GB2312" w:eastAsia="仿宋_GB2312"/>
          <w:sz w:val="32"/>
          <w:szCs w:val="32"/>
        </w:rPr>
        <w:t>（五）监督保障方面。将政务公开工作纳入部门督办和考核，由分管负责同志和政务公开工作人员定期开展监督检查，强化考核评估结果运用。积极组织工作人员参加雄安新区政务公开培训，持续提升业务能力。</w:t>
      </w:r>
    </w:p>
    <w:p>
      <w:pPr>
        <w:spacing w:line="560" w:lineRule="exact"/>
        <w:ind w:firstLine="648"/>
        <w:rPr>
          <w:rFonts w:ascii="仿宋_GB2312" w:eastAsia="仿宋_GB2312"/>
          <w:sz w:val="32"/>
          <w:szCs w:val="32"/>
        </w:rPr>
      </w:pPr>
    </w:p>
    <w:p>
      <w:pPr>
        <w:spacing w:line="560" w:lineRule="exact"/>
        <w:rPr>
          <w:rFonts w:ascii="黑体" w:hAnsi="黑体" w:eastAsia="黑体"/>
          <w:sz w:val="32"/>
          <w:szCs w:val="32"/>
        </w:rPr>
      </w:pPr>
      <w:r>
        <w:rPr>
          <w:rFonts w:hint="eastAsia" w:ascii="仿宋_GB2312" w:eastAsia="仿宋_GB2312"/>
          <w:sz w:val="32"/>
          <w:szCs w:val="32"/>
        </w:rPr>
        <w:t>　　</w:t>
      </w:r>
      <w:r>
        <w:rPr>
          <w:rFonts w:hint="eastAsia" w:ascii="黑体" w:hAnsi="黑体" w:eastAsia="黑体"/>
          <w:sz w:val="32"/>
          <w:szCs w:val="32"/>
        </w:rPr>
        <w:t>二、主动公开政府信息情况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2" w:type="dxa"/>
            <w:gridSpan w:val="4"/>
            <w:shd w:val="clear" w:color="auto" w:fill="1F497D" w:themeFill="text2"/>
            <w:vAlign w:val="center"/>
          </w:tcPr>
          <w:p>
            <w:pPr>
              <w:spacing w:line="560" w:lineRule="exact"/>
              <w:jc w:val="center"/>
              <w:rPr>
                <w:rFonts w:ascii="仿宋_GB2312" w:eastAsia="仿宋_GB2312"/>
                <w:color w:val="00B0F0"/>
                <w:sz w:val="28"/>
                <w:szCs w:val="32"/>
              </w:rPr>
            </w:pPr>
            <w:r>
              <w:rPr>
                <w:rFonts w:hint="eastAsia" w:ascii="仿宋_GB2312" w:eastAsia="仿宋_GB2312"/>
                <w:color w:val="00B0F0"/>
                <w:sz w:val="28"/>
                <w:szCs w:val="32"/>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信息内容</w:t>
            </w:r>
          </w:p>
        </w:tc>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本年制发件数</w:t>
            </w:r>
          </w:p>
        </w:tc>
        <w:tc>
          <w:tcPr>
            <w:tcW w:w="2131"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本年废纸件数</w:t>
            </w:r>
          </w:p>
        </w:tc>
        <w:tc>
          <w:tcPr>
            <w:tcW w:w="2131"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规章</w:t>
            </w:r>
          </w:p>
        </w:tc>
        <w:tc>
          <w:tcPr>
            <w:tcW w:w="2130" w:type="dxa"/>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c>
          <w:tcPr>
            <w:tcW w:w="2131" w:type="dxa"/>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c>
          <w:tcPr>
            <w:tcW w:w="2131" w:type="dxa"/>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4"/>
                <w:szCs w:val="32"/>
              </w:rPr>
              <w:t>行政规范性文件</w:t>
            </w:r>
          </w:p>
        </w:tc>
        <w:tc>
          <w:tcPr>
            <w:tcW w:w="2130" w:type="dxa"/>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c>
          <w:tcPr>
            <w:tcW w:w="2131" w:type="dxa"/>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c>
          <w:tcPr>
            <w:tcW w:w="2131" w:type="dxa"/>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4"/>
            <w:shd w:val="clear" w:color="auto" w:fill="1F497D" w:themeFill="text2"/>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信息内容</w:t>
            </w:r>
          </w:p>
        </w:tc>
        <w:tc>
          <w:tcPr>
            <w:tcW w:w="6392" w:type="dxa"/>
            <w:gridSpan w:val="3"/>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行政许可</w:t>
            </w:r>
          </w:p>
        </w:tc>
        <w:tc>
          <w:tcPr>
            <w:tcW w:w="6392" w:type="dxa"/>
            <w:gridSpan w:val="3"/>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4"/>
            <w:shd w:val="clear" w:color="auto" w:fill="1F497D" w:themeFill="text2"/>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信息内容</w:t>
            </w:r>
          </w:p>
        </w:tc>
        <w:tc>
          <w:tcPr>
            <w:tcW w:w="6392" w:type="dxa"/>
            <w:gridSpan w:val="3"/>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行政处罚</w:t>
            </w:r>
          </w:p>
        </w:tc>
        <w:tc>
          <w:tcPr>
            <w:tcW w:w="6392" w:type="dxa"/>
            <w:gridSpan w:val="3"/>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行政强制</w:t>
            </w:r>
          </w:p>
        </w:tc>
        <w:tc>
          <w:tcPr>
            <w:tcW w:w="6392" w:type="dxa"/>
            <w:gridSpan w:val="3"/>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4"/>
            <w:shd w:val="clear" w:color="auto" w:fill="1F497D" w:themeFill="text2"/>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8"/>
                <w:szCs w:val="32"/>
              </w:rPr>
              <w:t>信息内容</w:t>
            </w:r>
          </w:p>
        </w:tc>
        <w:tc>
          <w:tcPr>
            <w:tcW w:w="6392" w:type="dxa"/>
            <w:gridSpan w:val="3"/>
            <w:vAlign w:val="center"/>
          </w:tcPr>
          <w:p>
            <w:pPr>
              <w:tabs>
                <w:tab w:val="left" w:pos="2404"/>
              </w:tabs>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本年收费金额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560" w:lineRule="exact"/>
              <w:jc w:val="center"/>
              <w:rPr>
                <w:rFonts w:ascii="仿宋_GB2312" w:eastAsia="仿宋_GB2312"/>
                <w:sz w:val="28"/>
                <w:szCs w:val="32"/>
              </w:rPr>
            </w:pPr>
            <w:r>
              <w:rPr>
                <w:rFonts w:hint="eastAsia" w:ascii="仿宋_GB2312" w:eastAsia="仿宋_GB2312"/>
                <w:sz w:val="24"/>
                <w:szCs w:val="32"/>
              </w:rPr>
              <w:t>行政事业性收费</w:t>
            </w:r>
          </w:p>
        </w:tc>
        <w:tc>
          <w:tcPr>
            <w:tcW w:w="6392" w:type="dxa"/>
            <w:gridSpan w:val="3"/>
            <w:vAlign w:val="center"/>
          </w:tcPr>
          <w:p>
            <w:pPr>
              <w:spacing w:line="560" w:lineRule="exact"/>
              <w:jc w:val="center"/>
              <w:rPr>
                <w:rFonts w:ascii="Times New Roman" w:hAnsi="Times New Roman" w:eastAsia="仿宋_GB2312" w:cs="Times New Roman"/>
                <w:sz w:val="28"/>
                <w:szCs w:val="32"/>
              </w:rPr>
            </w:pPr>
            <w:r>
              <w:rPr>
                <w:rFonts w:ascii="Times New Roman" w:hAnsi="Times New Roman" w:eastAsia="仿宋_GB2312" w:cs="Times New Roman"/>
                <w:sz w:val="28"/>
                <w:szCs w:val="32"/>
              </w:rPr>
              <w:t>0</w:t>
            </w:r>
          </w:p>
        </w:tc>
      </w:tr>
    </w:tbl>
    <w:p>
      <w:pPr>
        <w:spacing w:line="560" w:lineRule="exact"/>
        <w:rPr>
          <w:rFonts w:hint="eastAsia" w:ascii="黑体" w:hAnsi="黑体" w:eastAsia="黑体"/>
          <w:sz w:val="32"/>
          <w:szCs w:val="32"/>
        </w:rPr>
      </w:pPr>
      <w:r>
        <w:rPr>
          <w:rFonts w:hint="eastAsia" w:ascii="黑体" w:hAnsi="黑体" w:eastAsia="黑体"/>
          <w:sz w:val="32"/>
          <w:szCs w:val="32"/>
        </w:rPr>
        <w:t>　</w:t>
      </w:r>
    </w:p>
    <w:p>
      <w:pPr>
        <w:spacing w:line="560" w:lineRule="exact"/>
        <w:rPr>
          <w:rFonts w:hint="eastAsia"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三、收到和处理政府信息公开申请情况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079"/>
        <w:gridCol w:w="2333"/>
        <w:gridCol w:w="538"/>
        <w:gridCol w:w="662"/>
        <w:gridCol w:w="650"/>
        <w:gridCol w:w="788"/>
        <w:gridCol w:w="800"/>
        <w:gridCol w:w="500"/>
        <w:gridCol w:w="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37" w:type="dxa"/>
            <w:gridSpan w:val="3"/>
            <w:vMerge w:val="restart"/>
            <w:vAlign w:val="center"/>
          </w:tcPr>
          <w:p>
            <w:pPr>
              <w:spacing w:line="560" w:lineRule="exact"/>
              <w:rPr>
                <w:rFonts w:ascii="Times New Roman" w:hAnsi="Times New Roman" w:eastAsia="仿宋_GB2312" w:cs="Times New Roman"/>
                <w:w w:val="90"/>
                <w:sz w:val="28"/>
                <w:szCs w:val="28"/>
              </w:rPr>
            </w:pPr>
            <w:r>
              <w:rPr>
                <w:rFonts w:ascii="Times New Roman" w:hAnsi="Times New Roman" w:eastAsia="楷体_GB2312" w:cs="Times New Roman"/>
                <w:w w:val="90"/>
                <w:szCs w:val="24"/>
              </w:rPr>
              <w:t>（本列数据的勾稽关系为：第一项加第二项之和，等于第三项加第四项之和）</w:t>
            </w:r>
          </w:p>
        </w:tc>
        <w:tc>
          <w:tcPr>
            <w:tcW w:w="4485" w:type="dxa"/>
            <w:gridSpan w:val="7"/>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vMerge w:val="continue"/>
            <w:vAlign w:val="center"/>
          </w:tcPr>
          <w:p>
            <w:pPr>
              <w:spacing w:line="560" w:lineRule="exact"/>
              <w:rPr>
                <w:rFonts w:ascii="Times New Roman" w:hAnsi="Times New Roman" w:eastAsia="仿宋_GB2312" w:cs="Times New Roman"/>
                <w:w w:val="90"/>
                <w:sz w:val="28"/>
                <w:szCs w:val="28"/>
              </w:rPr>
            </w:pPr>
          </w:p>
        </w:tc>
        <w:tc>
          <w:tcPr>
            <w:tcW w:w="538" w:type="dxa"/>
            <w:vMerge w:val="restart"/>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自然人</w:t>
            </w:r>
          </w:p>
        </w:tc>
        <w:tc>
          <w:tcPr>
            <w:tcW w:w="3400" w:type="dxa"/>
            <w:gridSpan w:val="5"/>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法人或其他组织</w:t>
            </w:r>
          </w:p>
        </w:tc>
        <w:tc>
          <w:tcPr>
            <w:tcW w:w="547" w:type="dxa"/>
            <w:vMerge w:val="restart"/>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vMerge w:val="continue"/>
            <w:vAlign w:val="center"/>
          </w:tcPr>
          <w:p>
            <w:pPr>
              <w:spacing w:line="560" w:lineRule="exact"/>
              <w:rPr>
                <w:rFonts w:ascii="Times New Roman" w:hAnsi="Times New Roman" w:eastAsia="仿宋_GB2312" w:cs="Times New Roman"/>
                <w:w w:val="90"/>
                <w:sz w:val="28"/>
                <w:szCs w:val="28"/>
              </w:rPr>
            </w:pPr>
          </w:p>
        </w:tc>
        <w:tc>
          <w:tcPr>
            <w:tcW w:w="538" w:type="dxa"/>
            <w:vMerge w:val="continue"/>
            <w:vAlign w:val="center"/>
          </w:tcPr>
          <w:p>
            <w:pPr>
              <w:spacing w:line="560" w:lineRule="exact"/>
              <w:jc w:val="center"/>
              <w:rPr>
                <w:rFonts w:ascii="Times New Roman" w:hAnsi="Times New Roman" w:eastAsia="仿宋_GB2312" w:cs="Times New Roman"/>
                <w:w w:val="90"/>
                <w:szCs w:val="21"/>
              </w:rPr>
            </w:pPr>
          </w:p>
        </w:tc>
        <w:tc>
          <w:tcPr>
            <w:tcW w:w="662" w:type="dxa"/>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商业企业</w:t>
            </w:r>
          </w:p>
        </w:tc>
        <w:tc>
          <w:tcPr>
            <w:tcW w:w="650" w:type="dxa"/>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科研机构</w:t>
            </w:r>
          </w:p>
        </w:tc>
        <w:tc>
          <w:tcPr>
            <w:tcW w:w="788" w:type="dxa"/>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社会公益组织</w:t>
            </w:r>
          </w:p>
        </w:tc>
        <w:tc>
          <w:tcPr>
            <w:tcW w:w="800" w:type="dxa"/>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法律服务机构</w:t>
            </w:r>
          </w:p>
        </w:tc>
        <w:tc>
          <w:tcPr>
            <w:tcW w:w="500" w:type="dxa"/>
            <w:vAlign w:val="center"/>
          </w:tcPr>
          <w:p>
            <w:pPr>
              <w:spacing w:line="240" w:lineRule="exact"/>
              <w:jc w:val="center"/>
              <w:rPr>
                <w:rFonts w:ascii="Times New Roman" w:hAnsi="Times New Roman" w:eastAsia="仿宋_GB2312" w:cs="Times New Roman"/>
                <w:w w:val="90"/>
                <w:szCs w:val="21"/>
              </w:rPr>
            </w:pPr>
            <w:r>
              <w:rPr>
                <w:rFonts w:ascii="Times New Roman" w:hAnsi="Times New Roman" w:eastAsia="仿宋_GB2312" w:cs="Times New Roman"/>
                <w:w w:val="90"/>
                <w:szCs w:val="21"/>
              </w:rPr>
              <w:t>其他</w:t>
            </w:r>
          </w:p>
        </w:tc>
        <w:tc>
          <w:tcPr>
            <w:tcW w:w="547" w:type="dxa"/>
            <w:vMerge w:val="continue"/>
            <w:vAlign w:val="center"/>
          </w:tcPr>
          <w:p>
            <w:pPr>
              <w:spacing w:line="560" w:lineRule="exact"/>
              <w:jc w:val="center"/>
              <w:rPr>
                <w:rFonts w:ascii="Times New Roman" w:hAnsi="Times New Roman" w:eastAsia="仿宋_GB2312" w:cs="Times New Roman"/>
                <w:w w:val="9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037" w:type="dxa"/>
            <w:gridSpan w:val="3"/>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一、本年新收政府信息公开申请数量</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二、上年结转政府信息公开申请数量</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restart"/>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三、本年度办理结果</w:t>
            </w:r>
          </w:p>
        </w:tc>
        <w:tc>
          <w:tcPr>
            <w:tcW w:w="3412" w:type="dxa"/>
            <w:gridSpan w:val="2"/>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（一）予以公开</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3412" w:type="dxa"/>
            <w:gridSpan w:val="2"/>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（二）部分公开（区分处理的，只计这一情形，不计其他情形）</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restart"/>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（三）不予公开</w:t>
            </w: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1.属于国家秘密</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2.其他法律行政法规禁止公开</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3.危及“三安全一稳定”</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4.保护第三方合法权益</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5.属于三类内部事务信息</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6.属于四类过程性信息</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7.属于行政执法案卷</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8.属于行政查询事项</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restart"/>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（四）无法提供</w:t>
            </w: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1.本机关不掌握相关政府信息</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2.没有现成信息需要另行制作</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3.补正后申请内容仍不明确</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restart"/>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（五）不予处理</w:t>
            </w: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1.信访举报投诉类申请</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2.重复申请</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3.要求提供公开出版物</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4.无正当理由大量反复申请</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5.要求行政机关确认或重新出具已获取信息</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restart"/>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（六）其他处理</w:t>
            </w: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1.申请人无正当理由逾期不补正、行政机关不再处理其政府信息公开申请</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2.申请人逾期未按收费通知要求缴纳费用、行政机关不再处理其政府信息公开申请</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1079" w:type="dxa"/>
            <w:vMerge w:val="continue"/>
            <w:vAlign w:val="center"/>
          </w:tcPr>
          <w:p>
            <w:pPr>
              <w:spacing w:line="240" w:lineRule="exact"/>
              <w:jc w:val="left"/>
              <w:rPr>
                <w:rFonts w:ascii="Times New Roman" w:hAnsi="Times New Roman" w:eastAsia="仿宋_GB2312" w:cs="Times New Roman"/>
                <w:w w:val="90"/>
              </w:rPr>
            </w:pPr>
          </w:p>
        </w:tc>
        <w:tc>
          <w:tcPr>
            <w:tcW w:w="2333" w:type="dxa"/>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3.其他</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vAlign w:val="center"/>
          </w:tcPr>
          <w:p>
            <w:pPr>
              <w:spacing w:line="240" w:lineRule="exact"/>
              <w:jc w:val="left"/>
              <w:rPr>
                <w:rFonts w:ascii="Times New Roman" w:hAnsi="Times New Roman" w:eastAsia="仿宋_GB2312" w:cs="Times New Roman"/>
                <w:w w:val="90"/>
              </w:rPr>
            </w:pPr>
          </w:p>
        </w:tc>
        <w:tc>
          <w:tcPr>
            <w:tcW w:w="3412" w:type="dxa"/>
            <w:gridSpan w:val="2"/>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（七）总计</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vAlign w:val="center"/>
          </w:tcPr>
          <w:p>
            <w:pPr>
              <w:spacing w:line="240" w:lineRule="exact"/>
              <w:jc w:val="left"/>
              <w:rPr>
                <w:rFonts w:ascii="Times New Roman" w:hAnsi="Times New Roman" w:eastAsia="仿宋_GB2312" w:cs="Times New Roman"/>
                <w:w w:val="90"/>
              </w:rPr>
            </w:pPr>
            <w:r>
              <w:rPr>
                <w:rFonts w:ascii="Times New Roman" w:hAnsi="Times New Roman" w:eastAsia="仿宋_GB2312" w:cs="Times New Roman"/>
                <w:w w:val="90"/>
                <w:szCs w:val="24"/>
              </w:rPr>
              <w:t>四、结转下年度继续办理</w:t>
            </w:r>
          </w:p>
        </w:tc>
        <w:tc>
          <w:tcPr>
            <w:tcW w:w="53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62"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65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788"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8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00"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c>
          <w:tcPr>
            <w:tcW w:w="547" w:type="dxa"/>
            <w:vAlign w:val="center"/>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0</w:t>
            </w:r>
          </w:p>
        </w:tc>
      </w:tr>
    </w:tbl>
    <w:p>
      <w:pPr>
        <w:spacing w:line="560" w:lineRule="exact"/>
        <w:rPr>
          <w:rFonts w:ascii="黑体" w:hAnsi="黑体" w:eastAsia="黑体"/>
          <w:sz w:val="32"/>
          <w:szCs w:val="32"/>
        </w:rPr>
      </w:pPr>
      <w:r>
        <w:rPr>
          <w:rFonts w:hint="eastAsia" w:ascii="仿宋_GB2312" w:eastAsia="仿宋_GB2312"/>
          <w:sz w:val="32"/>
          <w:szCs w:val="32"/>
        </w:rPr>
        <w:t>　</w:t>
      </w:r>
      <w:r>
        <w:rPr>
          <w:rFonts w:hint="eastAsia" w:ascii="黑体" w:hAnsi="黑体" w:eastAsia="黑体"/>
          <w:sz w:val="32"/>
          <w:szCs w:val="32"/>
        </w:rPr>
        <w:t>　四、政府信息公开行政复议、行政诉讼情况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567"/>
        <w:gridCol w:w="567"/>
        <w:gridCol w:w="567"/>
        <w:gridCol w:w="567"/>
        <w:gridCol w:w="567"/>
        <w:gridCol w:w="567"/>
        <w:gridCol w:w="567"/>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gridSpan w:val="5"/>
            <w:vMerge w:val="restart"/>
          </w:tcPr>
          <w:p>
            <w:pPr>
              <w:spacing w:line="560" w:lineRule="exact"/>
              <w:jc w:val="center"/>
              <w:rPr>
                <w:rFonts w:ascii="Times New Roman" w:hAnsi="Times New Roman" w:eastAsia="仿宋_GB2312" w:cs="Times New Roman"/>
                <w:w w:val="90"/>
              </w:rPr>
            </w:pPr>
            <w:r>
              <w:rPr>
                <w:rFonts w:ascii="Times New Roman" w:hAnsi="Times New Roman" w:eastAsia="仿宋_GB2312" w:cs="Times New Roman"/>
                <w:w w:val="90"/>
              </w:rPr>
              <w:t>行政复议</w:t>
            </w:r>
          </w:p>
        </w:tc>
        <w:tc>
          <w:tcPr>
            <w:tcW w:w="5677" w:type="dxa"/>
            <w:gridSpan w:val="10"/>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gridSpan w:val="5"/>
            <w:vMerge w:val="continue"/>
          </w:tcPr>
          <w:p>
            <w:pPr>
              <w:spacing w:line="560" w:lineRule="exact"/>
              <w:jc w:val="center"/>
              <w:rPr>
                <w:rFonts w:ascii="Times New Roman" w:hAnsi="Times New Roman" w:eastAsia="仿宋_GB2312" w:cs="Times New Roman"/>
                <w:w w:val="90"/>
              </w:rPr>
            </w:pPr>
          </w:p>
        </w:tc>
        <w:tc>
          <w:tcPr>
            <w:tcW w:w="2837" w:type="dxa"/>
            <w:gridSpan w:val="5"/>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未经复议直接起诉</w:t>
            </w:r>
          </w:p>
        </w:tc>
        <w:tc>
          <w:tcPr>
            <w:tcW w:w="2840" w:type="dxa"/>
            <w:gridSpan w:val="5"/>
          </w:tcPr>
          <w:p>
            <w:pPr>
              <w:spacing w:line="240" w:lineRule="exact"/>
              <w:jc w:val="center"/>
              <w:rPr>
                <w:rFonts w:ascii="Times New Roman" w:hAnsi="Times New Roman" w:eastAsia="仿宋_GB2312" w:cs="Times New Roman"/>
                <w:w w:val="90"/>
              </w:rPr>
            </w:pPr>
            <w:r>
              <w:rPr>
                <w:rFonts w:ascii="Times New Roman" w:hAnsi="Times New Roman" w:eastAsia="仿宋_GB2312" w:cs="Times New Roman"/>
                <w:w w:val="90"/>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结果维持</w:t>
            </w:r>
          </w:p>
        </w:tc>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结果纠正</w:t>
            </w:r>
          </w:p>
        </w:tc>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其他结果</w:t>
            </w:r>
          </w:p>
        </w:tc>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尚未审结</w:t>
            </w:r>
          </w:p>
        </w:tc>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总计</w:t>
            </w:r>
          </w:p>
        </w:tc>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结果维持</w:t>
            </w:r>
          </w:p>
        </w:tc>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结果纠正</w:t>
            </w:r>
          </w:p>
        </w:tc>
        <w:tc>
          <w:tcPr>
            <w:tcW w:w="567"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其他结果</w:t>
            </w:r>
          </w:p>
        </w:tc>
        <w:tc>
          <w:tcPr>
            <w:tcW w:w="568"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尚未审结</w:t>
            </w:r>
          </w:p>
        </w:tc>
        <w:tc>
          <w:tcPr>
            <w:tcW w:w="568"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总计</w:t>
            </w:r>
          </w:p>
        </w:tc>
        <w:tc>
          <w:tcPr>
            <w:tcW w:w="568"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结果维持</w:t>
            </w:r>
          </w:p>
        </w:tc>
        <w:tc>
          <w:tcPr>
            <w:tcW w:w="568"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结果纠正</w:t>
            </w:r>
          </w:p>
        </w:tc>
        <w:tc>
          <w:tcPr>
            <w:tcW w:w="568"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其他结果</w:t>
            </w:r>
          </w:p>
        </w:tc>
        <w:tc>
          <w:tcPr>
            <w:tcW w:w="568"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尚未审结</w:t>
            </w:r>
          </w:p>
        </w:tc>
        <w:tc>
          <w:tcPr>
            <w:tcW w:w="568" w:type="dxa"/>
          </w:tcPr>
          <w:p>
            <w:pPr>
              <w:spacing w:line="240" w:lineRule="exact"/>
              <w:jc w:val="center"/>
              <w:rPr>
                <w:rFonts w:ascii="Times New Roman" w:hAnsi="Times New Roman" w:eastAsia="仿宋_GB2312" w:cs="Times New Roman"/>
                <w:w w:val="90"/>
                <w:sz w:val="18"/>
                <w:szCs w:val="21"/>
              </w:rPr>
            </w:pPr>
            <w:r>
              <w:rPr>
                <w:rFonts w:ascii="Times New Roman" w:hAnsi="Times New Roman" w:eastAsia="仿宋_GB2312" w:cs="Times New Roman"/>
                <w:w w:val="90"/>
                <w:sz w:val="18"/>
                <w:szCs w:val="21"/>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7"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8"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8"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8"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8"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8"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8" w:type="dxa"/>
            <w:vAlign w:val="center"/>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c>
          <w:tcPr>
            <w:tcW w:w="568" w:type="dxa"/>
          </w:tcPr>
          <w:p>
            <w:pPr>
              <w:spacing w:line="580" w:lineRule="exact"/>
              <w:jc w:val="center"/>
              <w:rPr>
                <w:rFonts w:ascii="Times New Roman" w:hAnsi="Times New Roman" w:eastAsia="仿宋_GB2312" w:cs="Times New Roman"/>
                <w:sz w:val="24"/>
                <w:szCs w:val="32"/>
              </w:rPr>
            </w:pPr>
            <w:r>
              <w:rPr>
                <w:rFonts w:ascii="Times New Roman" w:hAnsi="Times New Roman" w:eastAsia="仿宋_GB2312" w:cs="Times New Roman"/>
                <w:sz w:val="24"/>
                <w:szCs w:val="32"/>
              </w:rPr>
              <w:t>0</w:t>
            </w:r>
          </w:p>
        </w:tc>
      </w:tr>
    </w:tbl>
    <w:p>
      <w:pPr>
        <w:spacing w:line="560" w:lineRule="exact"/>
        <w:rPr>
          <w:rFonts w:ascii="仿宋_GB2312" w:eastAsia="仿宋_GB2312"/>
          <w:sz w:val="32"/>
          <w:szCs w:val="32"/>
        </w:rPr>
      </w:pPr>
    </w:p>
    <w:p>
      <w:pPr>
        <w:spacing w:line="560" w:lineRule="exact"/>
        <w:rPr>
          <w:rFonts w:ascii="黑体" w:hAnsi="黑体" w:eastAsia="黑体"/>
          <w:sz w:val="32"/>
          <w:szCs w:val="32"/>
        </w:rPr>
      </w:pPr>
      <w:r>
        <w:rPr>
          <w:rFonts w:hint="eastAsia" w:ascii="仿宋_GB2312" w:eastAsia="仿宋_GB2312"/>
          <w:sz w:val="32"/>
          <w:szCs w:val="32"/>
        </w:rPr>
        <w:t>　　</w:t>
      </w:r>
      <w:r>
        <w:rPr>
          <w:rFonts w:hint="eastAsia" w:ascii="黑体" w:hAnsi="黑体" w:eastAsia="黑体"/>
          <w:sz w:val="32"/>
          <w:szCs w:val="32"/>
        </w:rPr>
        <w:t>五、政府信息公开工作存在的主要问题及改进情况</w:t>
      </w:r>
    </w:p>
    <w:p>
      <w:pPr>
        <w:spacing w:line="560" w:lineRule="exact"/>
        <w:rPr>
          <w:rFonts w:ascii="仿宋_GB2312" w:eastAsia="仿宋_GB2312"/>
          <w:sz w:val="32"/>
          <w:szCs w:val="32"/>
        </w:rPr>
      </w:pPr>
      <w:r>
        <w:rPr>
          <w:rFonts w:hint="eastAsia" w:ascii="仿宋_GB2312" w:eastAsia="仿宋_GB2312"/>
          <w:sz w:val="32"/>
          <w:szCs w:val="32"/>
        </w:rPr>
        <w:t>　　　</w:t>
      </w:r>
      <w:r>
        <w:rPr>
          <w:rFonts w:ascii="Times New Roman" w:hAnsi="Times New Roman" w:eastAsia="仿宋_GB2312" w:cs="Times New Roman"/>
          <w:sz w:val="32"/>
          <w:szCs w:val="32"/>
        </w:rPr>
        <w:t>2022年</w:t>
      </w:r>
      <w:r>
        <w:rPr>
          <w:rFonts w:hint="eastAsia" w:ascii="仿宋_GB2312" w:eastAsia="仿宋_GB2312"/>
          <w:sz w:val="32"/>
          <w:szCs w:val="32"/>
        </w:rPr>
        <w:t>，新区党政党群工作部的政务公开工作虽然取得了一些成绩，但仍存在着一些问题，一是部分干部主动开展政府信息公开和政策解读工作的意识还有待增强；二是与群众沟通联系、接受群众监督的载体还不够多。</w:t>
      </w:r>
    </w:p>
    <w:p>
      <w:pPr>
        <w:spacing w:line="560" w:lineRule="exact"/>
        <w:ind w:firstLine="648"/>
        <w:rPr>
          <w:rFonts w:hint="eastAsia" w:ascii="仿宋_GB2312" w:eastAsia="仿宋_GB2312"/>
          <w:sz w:val="32"/>
          <w:szCs w:val="32"/>
        </w:rPr>
      </w:pPr>
      <w:r>
        <w:rPr>
          <w:rFonts w:hint="eastAsia" w:ascii="仿宋_GB2312" w:eastAsia="仿宋_GB2312"/>
          <w:sz w:val="32"/>
          <w:szCs w:val="32"/>
        </w:rPr>
        <w:t>改进措施：一是鼓励相关工作组推动日常信息发布，增强信息发布的标准化规范化；</w:t>
      </w:r>
      <w:r>
        <w:rPr>
          <w:rFonts w:hint="eastAsia" w:ascii="Times New Roman" w:hAnsi="Times New Roman" w:eastAsia="仿宋_GB2312" w:cs="Times New Roman"/>
          <w:sz w:val="32"/>
          <w:szCs w:val="32"/>
        </w:rPr>
        <w:t>二是多措并举抓好政策公开和解读工作，增强政策公开时效性，利用线上线下相结合的方式，以多种形式开展政策解读，让公众看得到、听得懂政策文件；</w:t>
      </w:r>
      <w:r>
        <w:rPr>
          <w:rFonts w:hint="eastAsia" w:ascii="仿宋_GB2312" w:eastAsia="仿宋_GB2312"/>
          <w:sz w:val="32"/>
          <w:szCs w:val="32"/>
        </w:rPr>
        <w:t>三是持续开展各级各单位政务公开工作人员培训，通过主动学习先进地区、先进部门的好经验、好做法，进一步提高政务公开工作水平；</w:t>
      </w:r>
      <w:r>
        <w:rPr>
          <w:rFonts w:hint="eastAsia" w:ascii="Times New Roman" w:hAnsi="Times New Roman" w:eastAsia="仿宋_GB2312" w:cs="Times New Roman"/>
          <w:sz w:val="32"/>
          <w:szCs w:val="32"/>
        </w:rPr>
        <w:t>四是强化我部网络平台日常运维管理，用实用细信息平台，进一步丰富政务公开、新闻动态等专栏内容。</w:t>
      </w:r>
    </w:p>
    <w:p>
      <w:pPr>
        <w:spacing w:line="560" w:lineRule="exact"/>
        <w:ind w:firstLine="648"/>
        <w:rPr>
          <w:rFonts w:ascii="黑体" w:hAnsi="黑体" w:eastAsia="黑体"/>
          <w:sz w:val="32"/>
          <w:szCs w:val="32"/>
        </w:rPr>
      </w:pPr>
      <w:r>
        <w:rPr>
          <w:rFonts w:hint="eastAsia" w:ascii="黑体" w:hAnsi="黑体" w:eastAsia="黑体"/>
          <w:sz w:val="32"/>
          <w:szCs w:val="32"/>
        </w:rPr>
        <w:t>六、其他需要报告的事项</w:t>
      </w:r>
    </w:p>
    <w:p>
      <w:pPr>
        <w:spacing w:line="560" w:lineRule="exact"/>
        <w:rPr>
          <w:rFonts w:ascii="仿宋_GB2312" w:eastAsia="仿宋_GB2312"/>
          <w:sz w:val="32"/>
          <w:szCs w:val="32"/>
        </w:rPr>
      </w:pPr>
      <w:r>
        <w:rPr>
          <w:rFonts w:hint="eastAsia" w:ascii="仿宋_GB2312" w:eastAsia="仿宋_GB2312"/>
          <w:sz w:val="32"/>
          <w:szCs w:val="32"/>
        </w:rPr>
        <w:t>　　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B30"/>
    <w:rsid w:val="000701CF"/>
    <w:rsid w:val="002A5D36"/>
    <w:rsid w:val="002A6257"/>
    <w:rsid w:val="00635B30"/>
    <w:rsid w:val="0076265B"/>
    <w:rsid w:val="007C6211"/>
    <w:rsid w:val="008F12D7"/>
    <w:rsid w:val="00AA4CC3"/>
    <w:rsid w:val="00BD73AC"/>
    <w:rsid w:val="00CE2D4D"/>
    <w:rsid w:val="00CF0BB6"/>
    <w:rsid w:val="00F5381C"/>
    <w:rsid w:val="217D5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Home</Company>
  <Pages>4</Pages>
  <Words>1826</Words>
  <Characters>1859</Characters>
  <Lines>16</Lines>
  <Paragraphs>4</Paragraphs>
  <TotalTime>394</TotalTime>
  <ScaleCrop>false</ScaleCrop>
  <LinksUpToDate>false</LinksUpToDate>
  <CharactersWithSpaces>1885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2023-01-31T06:42:00Z</dcterms:created>
  <dc:creator>China</dc:creator>
  <cp:lastModifiedBy>一斤鸭梨</cp:lastModifiedBy>
  <dcterms:modified xsi:type="dcterms:W3CDTF">2023-01-31T13:29:24Z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45F6B53FFAF94D998758794D5DCE7589</vt:lpwstr>
  </property>
</Properties>
</file>